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68" w:rsidRPr="003C0768" w:rsidRDefault="003C0768" w:rsidP="003C0768">
      <w:pPr>
        <w:rPr>
          <w:rFonts w:ascii="ＭＳ Ｐゴシック" w:eastAsia="ＭＳ Ｐゴシック" w:hAnsi="ＭＳ Ｐゴシック"/>
          <w:b/>
          <w:sz w:val="28"/>
          <w:szCs w:val="24"/>
          <w:lang w:val="en-US"/>
        </w:rPr>
      </w:pPr>
      <w:r w:rsidRPr="003C0768">
        <w:rPr>
          <w:rFonts w:ascii="ＭＳ Ｐゴシック" w:eastAsia="ＭＳ Ｐゴシック" w:hAnsi="ＭＳ Ｐゴシック"/>
          <w:b/>
          <w:sz w:val="28"/>
          <w:szCs w:val="24"/>
          <w:lang w:val="en-US"/>
        </w:rPr>
        <w:t>Appendix B</w:t>
      </w:r>
      <w:r w:rsidRPr="003C0768">
        <w:rPr>
          <w:rFonts w:ascii="ＭＳ Ｐゴシック" w:eastAsia="ＭＳ Ｐゴシック" w:hAnsi="ＭＳ Ｐゴシック" w:hint="eastAsia"/>
          <w:b/>
          <w:sz w:val="28"/>
          <w:szCs w:val="24"/>
          <w:lang w:val="en-US"/>
        </w:rPr>
        <w:t>：</w:t>
      </w:r>
      <w:r w:rsidRPr="003C0768">
        <w:rPr>
          <w:rFonts w:ascii="ＭＳ Ｐゴシック" w:eastAsia="ＭＳ Ｐゴシック" w:hAnsi="ＭＳ Ｐゴシック"/>
          <w:b/>
          <w:sz w:val="28"/>
          <w:szCs w:val="24"/>
          <w:lang w:val="en-US"/>
        </w:rPr>
        <w:t>Workshop Agenda and</w:t>
      </w:r>
      <w:r w:rsidRPr="003C0768">
        <w:rPr>
          <w:rFonts w:ascii="ＭＳ Ｐゴシック" w:eastAsia="ＭＳ Ｐゴシック" w:hAnsi="ＭＳ Ｐゴシック" w:hint="eastAsia"/>
          <w:b/>
          <w:sz w:val="28"/>
          <w:szCs w:val="24"/>
          <w:lang w:val="en-US"/>
        </w:rPr>
        <w:t xml:space="preserve">　</w:t>
      </w:r>
      <w:r w:rsidRPr="003C0768">
        <w:rPr>
          <w:rFonts w:ascii="ＭＳ Ｐゴシック" w:eastAsia="ＭＳ Ｐゴシック" w:hAnsi="ＭＳ Ｐゴシック"/>
          <w:b/>
          <w:sz w:val="28"/>
          <w:szCs w:val="24"/>
          <w:lang w:val="en-US"/>
        </w:rPr>
        <w:t>Questions to Panelists</w:t>
      </w:r>
      <w:r w:rsidRPr="003C0768">
        <w:rPr>
          <w:rFonts w:ascii="ＭＳ Ｐゴシック" w:eastAsia="ＭＳ Ｐゴシック" w:hAnsi="ＭＳ Ｐゴシック" w:hint="eastAsia"/>
          <w:b/>
          <w:sz w:val="28"/>
          <w:szCs w:val="24"/>
        </w:rPr>
        <w:t xml:space="preserve">　</w:t>
      </w:r>
    </w:p>
    <w:p w:rsidR="003C0768" w:rsidRDefault="003C0768" w:rsidP="003C0768">
      <w:pPr>
        <w:rPr>
          <w:rFonts w:ascii="ＭＳ Ｐゴシック" w:eastAsia="ＭＳ Ｐゴシック" w:hAnsi="ＭＳ Ｐゴシック"/>
          <w:b/>
          <w:sz w:val="18"/>
          <w:szCs w:val="24"/>
          <w:lang w:val="en-US"/>
        </w:rPr>
      </w:pPr>
      <w:r w:rsidRPr="003C0768">
        <w:rPr>
          <w:rFonts w:ascii="ＭＳ Ｐゴシック" w:eastAsia="ＭＳ Ｐゴシック" w:hAnsi="ＭＳ Ｐゴシック"/>
          <w:b/>
          <w:sz w:val="20"/>
          <w:szCs w:val="24"/>
          <w:lang w:val="en-US"/>
        </w:rPr>
        <w:t>IOM：Clinical practice guidelines we can trust</w:t>
      </w:r>
    </w:p>
    <w:p w:rsidR="003C0768" w:rsidRPr="003C0768" w:rsidRDefault="003C0768" w:rsidP="003C0768">
      <w:pPr>
        <w:rPr>
          <w:rFonts w:ascii="ＭＳ Ｐゴシック" w:eastAsia="ＭＳ Ｐゴシック" w:hAnsi="ＭＳ Ｐゴシック"/>
          <w:b/>
          <w:sz w:val="18"/>
          <w:szCs w:val="24"/>
          <w:lang w:val="en-US"/>
        </w:rPr>
      </w:pPr>
      <w:r w:rsidRPr="003C0768">
        <w:rPr>
          <w:rFonts w:ascii="ＭＳ Ｐゴシック" w:eastAsia="ＭＳ Ｐゴシック" w:hAnsi="ＭＳ Ｐゴシック"/>
          <w:b/>
          <w:sz w:val="18"/>
          <w:szCs w:val="24"/>
          <w:lang w:val="en-US"/>
        </w:rPr>
        <w:t>January 11, 2010</w:t>
      </w:r>
      <w:r w:rsidRPr="003C0768">
        <w:rPr>
          <w:rFonts w:ascii="ＭＳ Ｐゴシック" w:eastAsia="ＭＳ Ｐゴシック" w:hAnsi="ＭＳ Ｐゴシック" w:hint="eastAsia"/>
          <w:b/>
          <w:sz w:val="18"/>
          <w:szCs w:val="24"/>
          <w:lang w:val="en-US"/>
        </w:rPr>
        <w:t xml:space="preserve">　</w:t>
      </w:r>
      <w:r w:rsidRPr="003C0768">
        <w:rPr>
          <w:rFonts w:ascii="ＭＳ Ｐゴシック" w:eastAsia="ＭＳ Ｐゴシック" w:hAnsi="ＭＳ Ｐゴシック"/>
          <w:b/>
          <w:sz w:val="18"/>
          <w:szCs w:val="24"/>
          <w:lang w:val="en-US"/>
        </w:rPr>
        <w:t>Keck Center of The National Academies</w:t>
      </w:r>
      <w:r w:rsidRPr="003C0768">
        <w:rPr>
          <w:rFonts w:ascii="ＭＳ Ｐゴシック" w:eastAsia="ＭＳ Ｐゴシック" w:hAnsi="ＭＳ Ｐゴシック" w:hint="eastAsia"/>
          <w:b/>
          <w:sz w:val="18"/>
          <w:szCs w:val="24"/>
          <w:lang w:val="en-US"/>
        </w:rPr>
        <w:t xml:space="preserve">　</w:t>
      </w:r>
      <w:r w:rsidRPr="003C0768">
        <w:rPr>
          <w:rFonts w:ascii="ＭＳ Ｐゴシック" w:eastAsia="ＭＳ Ｐゴシック" w:hAnsi="ＭＳ Ｐゴシック"/>
          <w:b/>
          <w:sz w:val="18"/>
          <w:szCs w:val="24"/>
          <w:lang w:val="en-US"/>
        </w:rPr>
        <w:t>500 Fifth Street, N.W., Room 100</w:t>
      </w:r>
      <w:r w:rsidRPr="003C0768">
        <w:rPr>
          <w:rFonts w:ascii="ＭＳ Ｐゴシック" w:eastAsia="ＭＳ Ｐゴシック" w:hAnsi="ＭＳ Ｐゴシック" w:hint="eastAsia"/>
          <w:b/>
          <w:sz w:val="18"/>
          <w:szCs w:val="24"/>
          <w:lang w:val="en-US"/>
        </w:rPr>
        <w:t xml:space="preserve">　</w:t>
      </w:r>
      <w:r w:rsidRPr="003C0768">
        <w:rPr>
          <w:rFonts w:ascii="ＭＳ Ｐゴシック" w:eastAsia="ＭＳ Ｐゴシック" w:hAnsi="ＭＳ Ｐゴシック"/>
          <w:b/>
          <w:sz w:val="18"/>
          <w:szCs w:val="24"/>
          <w:lang w:val="en-US"/>
        </w:rPr>
        <w:t>Washington, DC</w:t>
      </w:r>
    </w:p>
    <w:p w:rsidR="00533200" w:rsidRPr="00721F4B" w:rsidRDefault="00533200" w:rsidP="00533200">
      <w:pPr>
        <w:rPr>
          <w:rFonts w:ascii="ＭＳ Ｐ明朝" w:eastAsia="ＭＳ Ｐ明朝" w:hAnsi="ＭＳ Ｐ明朝" w:hint="eastAsia"/>
          <w:b/>
          <w:color w:val="2E74B5" w:themeColor="accent1" w:themeShade="BF"/>
          <w:sz w:val="28"/>
          <w:szCs w:val="24"/>
          <w:u w:val="single"/>
        </w:rPr>
      </w:pPr>
      <w:r w:rsidRPr="00721F4B">
        <w:rPr>
          <w:rFonts w:ascii="ＭＳ Ｐゴシック" w:eastAsia="ＭＳ Ｐゴシック" w:hAnsi="ＭＳ Ｐゴシック"/>
          <w:b/>
          <w:sz w:val="28"/>
          <w:szCs w:val="24"/>
          <w:u w:val="single"/>
        </w:rPr>
        <w:t>Questions for the Panelists</w:t>
      </w:r>
      <w:r w:rsidRPr="00721F4B">
        <w:rPr>
          <w:rFonts w:ascii="ＭＳ Ｐ明朝" w:eastAsia="ＭＳ Ｐ明朝" w:hAnsi="ＭＳ Ｐ明朝" w:hint="eastAsia"/>
          <w:b/>
          <w:color w:val="2E74B5" w:themeColor="accent1" w:themeShade="BF"/>
          <w:sz w:val="28"/>
          <w:szCs w:val="24"/>
          <w:u w:val="single"/>
        </w:rPr>
        <w:t>（</w:t>
      </w:r>
      <w:r w:rsidRPr="00721F4B">
        <w:rPr>
          <w:rFonts w:ascii="ＭＳ Ｐ明朝" w:eastAsia="ＭＳ Ｐ明朝" w:hAnsi="ＭＳ Ｐ明朝"/>
          <w:b/>
          <w:color w:val="2E74B5" w:themeColor="accent1" w:themeShade="BF"/>
          <w:sz w:val="28"/>
          <w:szCs w:val="24"/>
          <w:u w:val="single"/>
        </w:rPr>
        <w:t>パネリスト向けの質問</w:t>
      </w:r>
      <w:r w:rsidRPr="00721F4B">
        <w:rPr>
          <w:rFonts w:ascii="ＭＳ Ｐ明朝" w:eastAsia="ＭＳ Ｐ明朝" w:hAnsi="ＭＳ Ｐ明朝" w:hint="eastAsia"/>
          <w:b/>
          <w:color w:val="2E74B5" w:themeColor="accent1" w:themeShade="BF"/>
          <w:sz w:val="28"/>
          <w:szCs w:val="24"/>
          <w:u w:val="single"/>
        </w:rPr>
        <w:t>）</w:t>
      </w:r>
    </w:p>
    <w:p w:rsidR="00721F4B" w:rsidRDefault="00721F4B" w:rsidP="00721F4B">
      <w:pPr>
        <w:jc w:val="left"/>
        <w:rPr>
          <w:rFonts w:ascii="ＭＳ Ｐゴシック" w:eastAsia="ＭＳ Ｐゴシック" w:hAnsi="ＭＳ Ｐゴシック"/>
          <w:b/>
          <w:sz w:val="24"/>
          <w:lang w:val="en-US"/>
        </w:rPr>
      </w:pPr>
      <w:r w:rsidRPr="00150625">
        <w:rPr>
          <w:rFonts w:ascii="ＭＳ Ｐゴシック" w:eastAsia="ＭＳ Ｐゴシック" w:hAnsi="ＭＳ Ｐゴシック" w:hint="eastAsia"/>
          <w:b/>
          <w:sz w:val="24"/>
          <w:lang w:val="en-US"/>
        </w:rPr>
        <w:t>●</w:t>
      </w:r>
      <w:r w:rsidRPr="00150625">
        <w:rPr>
          <w:rFonts w:ascii="ＭＳ Ｐゴシック" w:eastAsia="ＭＳ Ｐゴシック" w:hAnsi="ＭＳ Ｐゴシック"/>
          <w:b/>
          <w:sz w:val="24"/>
          <w:lang w:val="en-US"/>
        </w:rPr>
        <w:t>What do you believe are the biggest challenges clinical practice</w:t>
      </w:r>
      <w:r w:rsidRPr="00150625">
        <w:rPr>
          <w:rFonts w:ascii="ＭＳ Ｐゴシック" w:eastAsia="ＭＳ Ｐゴシック" w:hAnsi="ＭＳ Ｐゴシック" w:hint="eastAsia"/>
          <w:b/>
          <w:sz w:val="24"/>
          <w:lang w:val="en-US"/>
        </w:rPr>
        <w:t xml:space="preserve"> </w:t>
      </w:r>
      <w:r w:rsidRPr="00150625">
        <w:rPr>
          <w:rFonts w:ascii="ＭＳ Ｐゴシック" w:eastAsia="ＭＳ Ｐゴシック" w:hAnsi="ＭＳ Ｐゴシック"/>
          <w:b/>
          <w:sz w:val="24"/>
          <w:lang w:val="en-US"/>
        </w:rPr>
        <w:t xml:space="preserve">guidelines </w:t>
      </w:r>
    </w:p>
    <w:p w:rsidR="00721F4B" w:rsidRPr="00150625" w:rsidRDefault="00721F4B" w:rsidP="00721F4B">
      <w:pPr>
        <w:jc w:val="left"/>
        <w:rPr>
          <w:rFonts w:ascii="ＭＳ Ｐゴシック" w:eastAsia="ＭＳ Ｐゴシック" w:hAnsi="ＭＳ Ｐゴシック"/>
          <w:b/>
          <w:sz w:val="24"/>
          <w:lang w:val="en-US"/>
        </w:rPr>
      </w:pPr>
      <w:r w:rsidRPr="00150625">
        <w:rPr>
          <w:rFonts w:ascii="ＭＳ Ｐゴシック" w:eastAsia="ＭＳ Ｐゴシック" w:hAnsi="ＭＳ Ｐゴシック"/>
          <w:b/>
          <w:sz w:val="24"/>
          <w:lang w:val="en-US"/>
        </w:rPr>
        <w:t>developers/users face today? For example:</w:t>
      </w:r>
    </w:p>
    <w:p w:rsidR="00721F4B" w:rsidRDefault="00721F4B" w:rsidP="00721F4B">
      <w:pPr>
        <w:rPr>
          <w:rFonts w:ascii="ＭＳ Ｐ明朝" w:eastAsia="ＭＳ Ｐ明朝" w:hAnsi="ＭＳ Ｐ明朝" w:hint="eastAsia"/>
          <w:b/>
          <w:color w:val="0070C0"/>
          <w:sz w:val="19"/>
          <w:szCs w:val="19"/>
          <w:lang w:val="en-US"/>
        </w:rPr>
      </w:pPr>
      <w:r w:rsidRPr="003C0768">
        <w:rPr>
          <w:rFonts w:ascii="ＭＳ Ｐ明朝" w:eastAsia="ＭＳ Ｐ明朝" w:hAnsi="ＭＳ Ｐ明朝" w:hint="eastAsia"/>
          <w:b/>
          <w:color w:val="0070C0"/>
          <w:sz w:val="19"/>
          <w:szCs w:val="19"/>
          <w:lang w:val="en-US"/>
        </w:rPr>
        <w:t>診療ガイドライン作成者</w:t>
      </w:r>
      <w:r w:rsidRPr="003C0768">
        <w:rPr>
          <w:rFonts w:ascii="ＭＳ Ｐ明朝" w:eastAsia="ＭＳ Ｐ明朝" w:hAnsi="ＭＳ Ｐ明朝"/>
          <w:b/>
          <w:color w:val="0070C0"/>
          <w:sz w:val="19"/>
          <w:szCs w:val="19"/>
          <w:lang w:val="en-US"/>
        </w:rPr>
        <w:t>/ユーザーが今日直面する最大の課題は何だと思うか。たとえば以下の質問に答えてみよう。</w:t>
      </w:r>
    </w:p>
    <w:p w:rsidR="00721F4B" w:rsidRDefault="00721F4B" w:rsidP="00721F4B">
      <w:pPr>
        <w:rPr>
          <w:rFonts w:ascii="ＭＳ Ｐ明朝" w:eastAsia="ＭＳ Ｐ明朝" w:hAnsi="ＭＳ Ｐ明朝" w:hint="eastAsia"/>
          <w:b/>
          <w:color w:val="0070C0"/>
          <w:sz w:val="19"/>
          <w:szCs w:val="19"/>
          <w:lang w:val="en-US"/>
        </w:rPr>
      </w:pPr>
    </w:p>
    <w:p w:rsidR="00721F4B" w:rsidRPr="00150625" w:rsidRDefault="00721F4B" w:rsidP="00721F4B">
      <w:pPr>
        <w:jc w:val="left"/>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What do you do when the scientific evidence is absent</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or poor?</w:t>
      </w:r>
    </w:p>
    <w:p w:rsidR="00721F4B" w:rsidRDefault="00721F4B" w:rsidP="00721F4B">
      <w:pPr>
        <w:jc w:val="left"/>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科学的エビデンスがない、あるいは不足している場合はどうするか。</w:t>
      </w:r>
    </w:p>
    <w:p w:rsidR="00721F4B" w:rsidRPr="003C0768" w:rsidRDefault="00721F4B" w:rsidP="00721F4B">
      <w:pPr>
        <w:jc w:val="left"/>
        <w:rPr>
          <w:rFonts w:ascii="ＭＳ Ｐ明朝" w:eastAsia="ＭＳ Ｐ明朝" w:hAnsi="ＭＳ Ｐ明朝"/>
          <w:b/>
          <w:color w:val="0070C0"/>
          <w:sz w:val="19"/>
          <w:szCs w:val="19"/>
          <w:lang w:val="en-US"/>
        </w:rPr>
      </w:pPr>
    </w:p>
    <w:p w:rsidR="00721F4B" w:rsidRPr="00150625" w:rsidRDefault="00721F4B" w:rsidP="00721F4B">
      <w:pPr>
        <w:jc w:val="left"/>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w:t>
      </w:r>
      <w:r w:rsidRPr="00291828">
        <w:rPr>
          <w:rFonts w:ascii="ＭＳ Ｐゴシック" w:eastAsia="ＭＳ Ｐゴシック" w:hAnsi="ＭＳ Ｐゴシック"/>
          <w:lang w:val="en-US"/>
        </w:rPr>
        <w:t xml:space="preserve"> </w:t>
      </w:r>
      <w:r w:rsidRPr="00150625">
        <w:rPr>
          <w:rFonts w:ascii="ＭＳ Ｐゴシック" w:eastAsia="ＭＳ Ｐゴシック" w:hAnsi="ＭＳ Ｐゴシック"/>
          <w:b/>
          <w:sz w:val="22"/>
          <w:lang w:val="en-US"/>
        </w:rPr>
        <w:t>How do you reconcile disagreements in evidence interpretation among guidelines?</w:t>
      </w:r>
    </w:p>
    <w:p w:rsidR="00721F4B" w:rsidRDefault="00721F4B" w:rsidP="00721F4B">
      <w:pPr>
        <w:jc w:val="left"/>
        <w:rPr>
          <w:rFonts w:ascii="ＭＳ Ｐ明朝" w:eastAsia="ＭＳ Ｐ明朝" w:hAnsi="ＭＳ Ｐ明朝"/>
          <w:b/>
          <w:color w:val="0070C0"/>
          <w:sz w:val="19"/>
          <w:szCs w:val="19"/>
          <w:lang w:val="en-US"/>
        </w:rPr>
      </w:pPr>
      <w:r w:rsidRPr="003C0768">
        <w:rPr>
          <w:rFonts w:ascii="ＭＳ Ｐ明朝" w:eastAsia="ＭＳ Ｐ明朝" w:hAnsi="ＭＳ Ｐ明朝"/>
          <w:b/>
          <w:color w:val="0070C0"/>
          <w:sz w:val="19"/>
          <w:szCs w:val="19"/>
          <w:lang w:val="en-US"/>
        </w:rPr>
        <w:t>複数のガイドライン間でエビデンスの解釈が異なる場合はどう折り合いをつけるか。</w:t>
      </w:r>
    </w:p>
    <w:p w:rsidR="00721F4B" w:rsidRPr="003C0768" w:rsidRDefault="00721F4B" w:rsidP="00721F4B">
      <w:pPr>
        <w:jc w:val="left"/>
        <w:rPr>
          <w:rFonts w:ascii="ＭＳ Ｐ明朝" w:eastAsia="ＭＳ Ｐ明朝" w:hAnsi="ＭＳ Ｐ明朝"/>
          <w:b/>
          <w:color w:val="0070C0"/>
          <w:sz w:val="19"/>
          <w:szCs w:val="19"/>
          <w:lang w:val="en-US"/>
        </w:rPr>
      </w:pPr>
    </w:p>
    <w:p w:rsidR="00721F4B" w:rsidRPr="00150625" w:rsidRDefault="00721F4B" w:rsidP="00721F4B">
      <w:pPr>
        <w:jc w:val="left"/>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How do guidelines accommodate subgroups (e.g.,</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older populations or persons with multimorbidities)</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whose treatment outcomes may differ from the average</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patient?</w:t>
      </w:r>
    </w:p>
    <w:p w:rsidR="00721F4B" w:rsidRDefault="00721F4B" w:rsidP="00721F4B">
      <w:pPr>
        <w:jc w:val="left"/>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ガイドラインでは、標準的な患者とは治療アウトカムが異なるかもしれないサブグループ（例</w:t>
      </w:r>
      <w:r w:rsidRPr="003C0768">
        <w:rPr>
          <w:rFonts w:ascii="ＭＳ Ｐ明朝" w:eastAsia="ＭＳ Ｐ明朝" w:hAnsi="ＭＳ Ｐ明朝"/>
          <w:b/>
          <w:color w:val="0070C0"/>
          <w:sz w:val="19"/>
          <w:szCs w:val="19"/>
          <w:lang w:val="en-US"/>
        </w:rPr>
        <w:t>: 高齢者や複数の疾患を抱える人）にどう対応しているか。</w:t>
      </w:r>
    </w:p>
    <w:p w:rsidR="00721F4B" w:rsidRPr="003C0768" w:rsidRDefault="00721F4B" w:rsidP="00721F4B">
      <w:pPr>
        <w:jc w:val="left"/>
        <w:rPr>
          <w:rFonts w:ascii="ＭＳ Ｐ明朝" w:eastAsia="ＭＳ Ｐ明朝" w:hAnsi="ＭＳ Ｐ明朝"/>
          <w:b/>
          <w:color w:val="0070C0"/>
          <w:sz w:val="19"/>
          <w:szCs w:val="19"/>
          <w:lang w:val="en-US"/>
        </w:rPr>
      </w:pPr>
    </w:p>
    <w:p w:rsidR="00721F4B" w:rsidRPr="00150625" w:rsidRDefault="00721F4B" w:rsidP="00721F4B">
      <w:pPr>
        <w:jc w:val="left"/>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Are there other challenges you believe are important?</w:t>
      </w:r>
    </w:p>
    <w:p w:rsidR="00721F4B" w:rsidRDefault="00721F4B" w:rsidP="00721F4B">
      <w:pPr>
        <w:rPr>
          <w:rFonts w:ascii="ＭＳ Ｐ明朝" w:eastAsia="ＭＳ Ｐ明朝" w:hAnsi="ＭＳ Ｐ明朝" w:hint="eastAsia"/>
          <w:b/>
          <w:color w:val="0070C0"/>
          <w:sz w:val="19"/>
          <w:szCs w:val="19"/>
          <w:lang w:val="en-US"/>
        </w:rPr>
      </w:pPr>
      <w:r w:rsidRPr="003C0768">
        <w:rPr>
          <w:rFonts w:ascii="ＭＳ Ｐ明朝" w:eastAsia="ＭＳ Ｐ明朝" w:hAnsi="ＭＳ Ｐ明朝" w:hint="eastAsia"/>
          <w:b/>
          <w:color w:val="0070C0"/>
          <w:sz w:val="19"/>
          <w:szCs w:val="19"/>
          <w:lang w:val="en-US"/>
        </w:rPr>
        <w:t>ほかに重要であると考えられる課題はあるか。</w:t>
      </w:r>
    </w:p>
    <w:p w:rsidR="00721F4B" w:rsidRPr="00150625" w:rsidRDefault="00721F4B" w:rsidP="00721F4B">
      <w:pPr>
        <w:rPr>
          <w:rFonts w:ascii="ＭＳ Ｐ明朝" w:eastAsia="ＭＳ Ｐ明朝" w:hAnsi="ＭＳ Ｐ明朝"/>
          <w:b/>
          <w:color w:val="2E74B5" w:themeColor="accent1" w:themeShade="BF"/>
          <w:sz w:val="28"/>
          <w:szCs w:val="24"/>
          <w:lang w:val="en-US"/>
        </w:rPr>
      </w:pPr>
    </w:p>
    <w:p w:rsidR="00721F4B" w:rsidRDefault="00721F4B" w:rsidP="00721F4B">
      <w:pPr>
        <w:jc w:val="left"/>
        <w:rPr>
          <w:rFonts w:ascii="ＭＳ Ｐゴシック" w:eastAsia="ＭＳ Ｐゴシック" w:hAnsi="ＭＳ Ｐゴシック"/>
          <w:b/>
          <w:sz w:val="24"/>
          <w:lang w:val="en-US"/>
        </w:rPr>
      </w:pPr>
      <w:r w:rsidRPr="00150625">
        <w:rPr>
          <w:rFonts w:ascii="ＭＳ Ｐゴシック" w:eastAsia="ＭＳ Ｐゴシック" w:hAnsi="ＭＳ Ｐゴシック" w:hint="eastAsia"/>
          <w:b/>
          <w:sz w:val="24"/>
          <w:lang w:val="en-US"/>
        </w:rPr>
        <w:t>●</w:t>
      </w:r>
      <w:r w:rsidRPr="00150625">
        <w:rPr>
          <w:rFonts w:ascii="ＭＳ Ｐゴシック" w:eastAsia="ＭＳ Ｐゴシック" w:hAnsi="ＭＳ Ｐゴシック"/>
          <w:b/>
          <w:sz w:val="24"/>
          <w:lang w:val="en-US"/>
        </w:rPr>
        <w:t>What topics and/or processes do you think the committee</w:t>
      </w:r>
      <w:r w:rsidRPr="00150625">
        <w:rPr>
          <w:rFonts w:ascii="ＭＳ Ｐゴシック" w:eastAsia="ＭＳ Ｐゴシック" w:hAnsi="ＭＳ Ｐゴシック" w:hint="eastAsia"/>
          <w:b/>
          <w:sz w:val="24"/>
          <w:lang w:val="en-US"/>
        </w:rPr>
        <w:t xml:space="preserve"> </w:t>
      </w:r>
      <w:r w:rsidRPr="00150625">
        <w:rPr>
          <w:rFonts w:ascii="ＭＳ Ｐゴシック" w:eastAsia="ＭＳ Ｐゴシック" w:hAnsi="ＭＳ Ｐゴシック"/>
          <w:b/>
          <w:sz w:val="24"/>
          <w:lang w:val="en-US"/>
        </w:rPr>
        <w:t xml:space="preserve">should consider </w:t>
      </w:r>
    </w:p>
    <w:p w:rsidR="00721F4B" w:rsidRDefault="00721F4B" w:rsidP="00721F4B">
      <w:pPr>
        <w:jc w:val="left"/>
        <w:rPr>
          <w:rFonts w:ascii="ＭＳ Ｐゴシック" w:eastAsia="ＭＳ Ｐゴシック" w:hAnsi="ＭＳ Ｐゴシック"/>
          <w:b/>
          <w:sz w:val="24"/>
          <w:lang w:val="en-US"/>
        </w:rPr>
      </w:pPr>
      <w:r w:rsidRPr="00150625">
        <w:rPr>
          <w:rFonts w:ascii="ＭＳ Ｐゴシック" w:eastAsia="ＭＳ Ｐゴシック" w:hAnsi="ＭＳ Ｐゴシック"/>
          <w:b/>
          <w:sz w:val="24"/>
          <w:lang w:val="en-US"/>
        </w:rPr>
        <w:t>in deriving quality standards for clinical</w:t>
      </w:r>
      <w:r w:rsidRPr="00150625">
        <w:rPr>
          <w:rFonts w:ascii="ＭＳ Ｐゴシック" w:eastAsia="ＭＳ Ｐゴシック" w:hAnsi="ＭＳ Ｐゴシック" w:hint="eastAsia"/>
          <w:b/>
          <w:sz w:val="24"/>
          <w:lang w:val="en-US"/>
        </w:rPr>
        <w:t xml:space="preserve"> </w:t>
      </w:r>
      <w:r w:rsidRPr="00150625">
        <w:rPr>
          <w:rFonts w:ascii="ＭＳ Ｐゴシック" w:eastAsia="ＭＳ Ｐゴシック" w:hAnsi="ＭＳ Ｐゴシック"/>
          <w:b/>
          <w:sz w:val="24"/>
          <w:lang w:val="en-US"/>
        </w:rPr>
        <w:t>practice guidelines? For example:</w:t>
      </w:r>
    </w:p>
    <w:p w:rsidR="00B1415B" w:rsidRDefault="00721F4B" w:rsidP="00721F4B">
      <w:pPr>
        <w:rPr>
          <w:lang w:val="en-US"/>
        </w:rPr>
      </w:pPr>
      <w:r w:rsidRPr="003C0768">
        <w:rPr>
          <w:rFonts w:ascii="ＭＳ Ｐ明朝" w:eastAsia="ＭＳ Ｐ明朝" w:hAnsi="ＭＳ Ｐ明朝" w:hint="eastAsia"/>
          <w:b/>
          <w:color w:val="0070C0"/>
          <w:sz w:val="19"/>
          <w:szCs w:val="19"/>
          <w:lang w:val="en-US"/>
        </w:rPr>
        <w:t>診療ガイドラインのための質の高い基準を提示する上で、委員会はどのようなトピックや</w:t>
      </w:r>
      <w:r w:rsidRPr="003C0768">
        <w:rPr>
          <w:rFonts w:ascii="ＭＳ Ｐ明朝" w:eastAsia="ＭＳ Ｐ明朝" w:hAnsi="ＭＳ Ｐ明朝"/>
          <w:b/>
          <w:color w:val="0070C0"/>
          <w:sz w:val="19"/>
          <w:szCs w:val="19"/>
          <w:lang w:val="en-US"/>
        </w:rPr>
        <w:t>プロセスを検討すべきと考えられるか。たとえば以下の質問に答えてみよう。</w:t>
      </w:r>
    </w:p>
    <w:p w:rsidR="00291828" w:rsidRDefault="00291828" w:rsidP="00533200">
      <w:pPr>
        <w:rPr>
          <w:rFonts w:hint="eastAsia"/>
          <w:lang w:val="en-US"/>
        </w:rPr>
      </w:pP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What should the composition of CPG development panels,</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in particular the balance of methodologists, topical</w:t>
      </w:r>
      <w:r w:rsidRPr="00150625">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experts, and consumers, look like?</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b/>
          <w:color w:val="0070C0"/>
          <w:sz w:val="19"/>
          <w:szCs w:val="19"/>
          <w:lang w:val="en-US"/>
        </w:rPr>
        <w:t>CPG作成パネルの構成、特に方法論学者、当該トピックの専門家、消費者のバランスはどうあるべきか。</w:t>
      </w:r>
    </w:p>
    <w:p w:rsidR="00721F4B" w:rsidRPr="003C0768" w:rsidRDefault="00721F4B" w:rsidP="00721F4B">
      <w:pPr>
        <w:rPr>
          <w:rFonts w:ascii="ＭＳ Ｐ明朝" w:eastAsia="ＭＳ Ｐ明朝" w:hAnsi="ＭＳ Ｐ明朝"/>
          <w:b/>
          <w:color w:val="0070C0"/>
          <w:sz w:val="19"/>
          <w:szCs w:val="19"/>
          <w:lang w:val="en-US"/>
        </w:rPr>
      </w:pP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What methods might be developed for determining</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 xml:space="preserve">which recommendations among </w:t>
      </w: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those in a guideline</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should be applied to quality measures or electronic</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 xml:space="preserve">medical </w:t>
      </w: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record decision prompts?</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ガイドラインに含まれる推奨のうちのどれを品質指標や電子カルテ決断プロンプトに適用すべきかを判断する方法として、どのような方法を考案できるだろうか。</w:t>
      </w:r>
    </w:p>
    <w:p w:rsidR="00721F4B" w:rsidRPr="003C0768" w:rsidRDefault="00721F4B" w:rsidP="00721F4B">
      <w:pPr>
        <w:rPr>
          <w:rFonts w:ascii="ＭＳ Ｐ明朝" w:eastAsia="ＭＳ Ｐ明朝" w:hAnsi="ＭＳ Ｐ明朝"/>
          <w:b/>
          <w:color w:val="0070C0"/>
          <w:sz w:val="19"/>
          <w:szCs w:val="19"/>
          <w:lang w:val="en-US"/>
        </w:rPr>
      </w:pP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o Is there an available assessment tool that adequately</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 xml:space="preserve">rates both the level of the </w:t>
      </w:r>
    </w:p>
    <w:p w:rsidR="00721F4B"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scientific evidence and</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strength of clinical recommendations that should be</w:t>
      </w:r>
      <w:r>
        <w:rPr>
          <w:rFonts w:ascii="ＭＳ Ｐゴシック" w:eastAsia="ＭＳ Ｐゴシック" w:hAnsi="ＭＳ Ｐゴシック" w:hint="eastAsia"/>
          <w:b/>
          <w:sz w:val="22"/>
          <w:lang w:val="en-US"/>
        </w:rPr>
        <w:t xml:space="preserve"> </w:t>
      </w:r>
      <w:r w:rsidRPr="00150625">
        <w:rPr>
          <w:rFonts w:ascii="ＭＳ Ｐゴシック" w:eastAsia="ＭＳ Ｐゴシック" w:hAnsi="ＭＳ Ｐゴシック"/>
          <w:b/>
          <w:sz w:val="22"/>
          <w:lang w:val="en-US"/>
        </w:rPr>
        <w:t xml:space="preserve">used as </w:t>
      </w:r>
    </w:p>
    <w:p w:rsidR="00721F4B" w:rsidRPr="00150625" w:rsidRDefault="00721F4B" w:rsidP="00721F4B">
      <w:pPr>
        <w:rPr>
          <w:rFonts w:ascii="ＭＳ Ｐゴシック" w:eastAsia="ＭＳ Ｐゴシック" w:hAnsi="ＭＳ Ｐゴシック"/>
          <w:b/>
          <w:sz w:val="22"/>
          <w:lang w:val="en-US"/>
        </w:rPr>
      </w:pPr>
      <w:r w:rsidRPr="00150625">
        <w:rPr>
          <w:rFonts w:ascii="ＭＳ Ｐゴシック" w:eastAsia="ＭＳ Ｐゴシック" w:hAnsi="ＭＳ Ｐゴシック"/>
          <w:b/>
          <w:sz w:val="22"/>
          <w:lang w:val="en-US"/>
        </w:rPr>
        <w:t>standard practice in guideline development?</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科学的エビデンスのレベルと診療に関わる推奨の強さの両方を適切に等級付けできる入手可能な評価ツールで、ガイドライン作成における標準的手法として使用すべきものはあるか。</w:t>
      </w:r>
    </w:p>
    <w:p w:rsidR="00721F4B" w:rsidRPr="003C0768" w:rsidRDefault="00721F4B" w:rsidP="00721F4B">
      <w:pPr>
        <w:rPr>
          <w:rFonts w:ascii="ＭＳ Ｐ明朝" w:eastAsia="ＭＳ Ｐ明朝" w:hAnsi="ＭＳ Ｐ明朝"/>
          <w:b/>
          <w:color w:val="0070C0"/>
          <w:sz w:val="19"/>
          <w:szCs w:val="19"/>
          <w:lang w:val="en-US"/>
        </w:rPr>
      </w:pP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o What administrative (e.g., accreditation) or legal approaches</w:t>
      </w:r>
      <w:r>
        <w:rPr>
          <w:rFonts w:ascii="ＭＳ Ｐゴシック" w:eastAsia="ＭＳ Ｐゴシック" w:hAnsi="ＭＳ Ｐゴシック" w:hint="eastAsia"/>
          <w:b/>
          <w:sz w:val="22"/>
          <w:lang w:val="en-US"/>
        </w:rPr>
        <w:t xml:space="preserve"> </w:t>
      </w:r>
      <w:r w:rsidRPr="003C0768">
        <w:rPr>
          <w:rFonts w:ascii="ＭＳ Ｐゴシック" w:eastAsia="ＭＳ Ｐゴシック" w:hAnsi="ＭＳ Ｐゴシック"/>
          <w:b/>
          <w:sz w:val="22"/>
          <w:lang w:val="en-US"/>
        </w:rPr>
        <w:t xml:space="preserve">might improve the </w:t>
      </w: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quality of clinical practice</w:t>
      </w:r>
      <w:r>
        <w:rPr>
          <w:rFonts w:ascii="ＭＳ Ｐゴシック" w:eastAsia="ＭＳ Ｐゴシック" w:hAnsi="ＭＳ Ｐゴシック" w:hint="eastAsia"/>
          <w:b/>
          <w:sz w:val="22"/>
          <w:lang w:val="en-US"/>
        </w:rPr>
        <w:t xml:space="preserve"> </w:t>
      </w:r>
      <w:r w:rsidRPr="003C0768">
        <w:rPr>
          <w:rFonts w:ascii="ＭＳ Ｐゴシック" w:eastAsia="ＭＳ Ｐゴシック" w:hAnsi="ＭＳ Ｐゴシック"/>
          <w:b/>
          <w:sz w:val="22"/>
          <w:lang w:val="en-US"/>
        </w:rPr>
        <w:t>guidelines?</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どのような行政的（例</w:t>
      </w:r>
      <w:r w:rsidRPr="003C0768">
        <w:rPr>
          <w:rFonts w:ascii="ＭＳ Ｐ明朝" w:eastAsia="ＭＳ Ｐ明朝" w:hAnsi="ＭＳ Ｐ明朝"/>
          <w:b/>
          <w:color w:val="0070C0"/>
          <w:sz w:val="19"/>
          <w:szCs w:val="19"/>
          <w:lang w:val="en-US"/>
        </w:rPr>
        <w:t>: 認証）または法的アプローチにより、診療ガイドラインの質を向上できるだろうか</w:t>
      </w:r>
      <w:r w:rsidRPr="003C0768">
        <w:rPr>
          <w:rFonts w:ascii="ＭＳ Ｐ明朝" w:eastAsia="ＭＳ Ｐ明朝" w:hAnsi="ＭＳ Ｐ明朝" w:hint="eastAsia"/>
          <w:b/>
          <w:color w:val="0070C0"/>
          <w:sz w:val="19"/>
          <w:szCs w:val="19"/>
          <w:lang w:val="en-US"/>
        </w:rPr>
        <w:t>。</w:t>
      </w:r>
    </w:p>
    <w:p w:rsidR="00721F4B" w:rsidRPr="003C0768" w:rsidRDefault="00721F4B" w:rsidP="00721F4B">
      <w:pPr>
        <w:rPr>
          <w:rFonts w:ascii="ＭＳ Ｐ明朝" w:eastAsia="ＭＳ Ｐ明朝" w:hAnsi="ＭＳ Ｐ明朝"/>
          <w:b/>
          <w:color w:val="0070C0"/>
          <w:sz w:val="19"/>
          <w:szCs w:val="19"/>
          <w:lang w:val="en-US"/>
        </w:rPr>
      </w:pP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o What explicit approaches might harmonize guideline</w:t>
      </w:r>
      <w:r>
        <w:rPr>
          <w:rFonts w:ascii="ＭＳ Ｐゴシック" w:eastAsia="ＭＳ Ｐゴシック" w:hAnsi="ＭＳ Ｐゴシック" w:hint="eastAsia"/>
          <w:b/>
          <w:sz w:val="22"/>
          <w:lang w:val="en-US"/>
        </w:rPr>
        <w:t xml:space="preserve"> </w:t>
      </w:r>
      <w:r w:rsidRPr="003C0768">
        <w:rPr>
          <w:rFonts w:ascii="ＭＳ Ｐゴシック" w:eastAsia="ＭＳ Ｐゴシック" w:hAnsi="ＭＳ Ｐゴシック"/>
          <w:b/>
          <w:sz w:val="22"/>
          <w:lang w:val="en-US"/>
        </w:rPr>
        <w:t xml:space="preserve">developers and increase </w:t>
      </w: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guidelines convergence?</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どのような明確なアプローチがあれば、ガイドライン作成者間の見解の一致を図り、ガイドラインの統合を促せるか。</w:t>
      </w:r>
    </w:p>
    <w:p w:rsidR="00721F4B" w:rsidRPr="003C0768" w:rsidRDefault="00721F4B" w:rsidP="00721F4B">
      <w:pPr>
        <w:rPr>
          <w:rFonts w:ascii="ＭＳ Ｐ明朝" w:eastAsia="ＭＳ Ｐ明朝" w:hAnsi="ＭＳ Ｐ明朝"/>
          <w:b/>
          <w:color w:val="0070C0"/>
          <w:sz w:val="19"/>
          <w:szCs w:val="19"/>
          <w:lang w:val="en-US"/>
        </w:rPr>
      </w:pP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o What types of strategies might promote greater use of</w:t>
      </w:r>
      <w:r>
        <w:rPr>
          <w:rFonts w:ascii="ＭＳ Ｐゴシック" w:eastAsia="ＭＳ Ｐゴシック" w:hAnsi="ＭＳ Ｐゴシック" w:hint="eastAsia"/>
          <w:b/>
          <w:sz w:val="22"/>
          <w:lang w:val="en-US"/>
        </w:rPr>
        <w:t xml:space="preserve"> </w:t>
      </w:r>
      <w:r w:rsidRPr="003C0768">
        <w:rPr>
          <w:rFonts w:ascii="ＭＳ Ｐゴシック" w:eastAsia="ＭＳ Ｐゴシック" w:hAnsi="ＭＳ Ｐゴシック"/>
          <w:b/>
          <w:sz w:val="22"/>
          <w:lang w:val="en-US"/>
        </w:rPr>
        <w:t>guidelines?</w:t>
      </w:r>
    </w:p>
    <w:p w:rsidR="00721F4B"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どのような戦略があればさらなるガイドラインの利用を促せるか。</w:t>
      </w:r>
    </w:p>
    <w:p w:rsidR="00721F4B" w:rsidRPr="003C0768" w:rsidRDefault="00721F4B" w:rsidP="00721F4B">
      <w:pPr>
        <w:rPr>
          <w:rFonts w:ascii="ＭＳ Ｐ明朝" w:eastAsia="ＭＳ Ｐ明朝" w:hAnsi="ＭＳ Ｐ明朝"/>
          <w:color w:val="2E74B5" w:themeColor="accent1" w:themeShade="BF"/>
          <w:lang w:val="en-US"/>
        </w:rPr>
      </w:pP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o Are there other characteristics of guideline standards</w:t>
      </w:r>
      <w:r>
        <w:rPr>
          <w:rFonts w:ascii="ＭＳ Ｐゴシック" w:eastAsia="ＭＳ Ｐゴシック" w:hAnsi="ＭＳ Ｐゴシック" w:hint="eastAsia"/>
          <w:b/>
          <w:sz w:val="22"/>
          <w:lang w:val="en-US"/>
        </w:rPr>
        <w:t xml:space="preserve"> </w:t>
      </w:r>
      <w:r w:rsidRPr="003C0768">
        <w:rPr>
          <w:rFonts w:ascii="ＭＳ Ｐゴシック" w:eastAsia="ＭＳ Ｐゴシック" w:hAnsi="ＭＳ Ｐゴシック"/>
          <w:b/>
          <w:sz w:val="22"/>
          <w:lang w:val="en-US"/>
        </w:rPr>
        <w:t xml:space="preserve">you think are important for </w:t>
      </w:r>
    </w:p>
    <w:p w:rsidR="00721F4B" w:rsidRDefault="00721F4B" w:rsidP="00721F4B">
      <w:pPr>
        <w:jc w:val="left"/>
        <w:rPr>
          <w:rFonts w:ascii="ＭＳ Ｐゴシック" w:eastAsia="ＭＳ Ｐゴシック" w:hAnsi="ＭＳ Ｐゴシック"/>
          <w:b/>
          <w:sz w:val="22"/>
          <w:lang w:val="en-US"/>
        </w:rPr>
      </w:pPr>
      <w:r w:rsidRPr="003C0768">
        <w:rPr>
          <w:rFonts w:ascii="ＭＳ Ｐゴシック" w:eastAsia="ＭＳ Ｐゴシック" w:hAnsi="ＭＳ Ｐゴシック"/>
          <w:b/>
          <w:sz w:val="22"/>
          <w:lang w:val="en-US"/>
        </w:rPr>
        <w:t>the committee to consider?</w:t>
      </w:r>
    </w:p>
    <w:p w:rsidR="00721F4B" w:rsidRPr="003C0768" w:rsidRDefault="00721F4B" w:rsidP="00721F4B">
      <w:pPr>
        <w:rPr>
          <w:rFonts w:ascii="ＭＳ Ｐ明朝" w:eastAsia="ＭＳ Ｐ明朝" w:hAnsi="ＭＳ Ｐ明朝"/>
          <w:b/>
          <w:color w:val="0070C0"/>
          <w:sz w:val="19"/>
          <w:szCs w:val="19"/>
          <w:lang w:val="en-US"/>
        </w:rPr>
      </w:pPr>
      <w:r w:rsidRPr="003C0768">
        <w:rPr>
          <w:rFonts w:ascii="ＭＳ Ｐ明朝" w:eastAsia="ＭＳ Ｐ明朝" w:hAnsi="ＭＳ Ｐ明朝" w:hint="eastAsia"/>
          <w:b/>
          <w:color w:val="0070C0"/>
          <w:sz w:val="19"/>
          <w:szCs w:val="19"/>
          <w:lang w:val="en-US"/>
        </w:rPr>
        <w:t>ガイドライン基準の特性として、ほかに委員会で検討すべき重要なものはあるか。</w:t>
      </w:r>
    </w:p>
    <w:p w:rsidR="00721F4B" w:rsidRDefault="00721F4B" w:rsidP="00533200">
      <w:pPr>
        <w:rPr>
          <w:lang w:val="en-US"/>
        </w:rPr>
      </w:pPr>
    </w:p>
    <w:p w:rsidR="00291828" w:rsidRDefault="00291828" w:rsidP="00533200">
      <w:pPr>
        <w:rPr>
          <w:lang w:val="en-US"/>
        </w:rPr>
      </w:pPr>
    </w:p>
    <w:p w:rsidR="00B1415B" w:rsidRPr="002623C0" w:rsidRDefault="002623C0" w:rsidP="002623C0">
      <w:pPr>
        <w:jc w:val="right"/>
        <w:rPr>
          <w:sz w:val="20"/>
          <w:lang w:val="en-US"/>
        </w:rPr>
      </w:pPr>
      <w:bookmarkStart w:id="0" w:name="_GoBack"/>
      <w:bookmarkEnd w:id="0"/>
      <w:r w:rsidRPr="002623C0">
        <w:rPr>
          <w:rFonts w:hint="eastAsia"/>
          <w:sz w:val="20"/>
          <w:lang w:val="en-US"/>
        </w:rPr>
        <w:t>（フリーで公開されている資料を翻訳したものです</w:t>
      </w:r>
      <w:r>
        <w:rPr>
          <w:rFonts w:hint="eastAsia"/>
          <w:sz w:val="20"/>
          <w:lang w:val="en-US"/>
        </w:rPr>
        <w:t>。</w:t>
      </w:r>
      <w:r w:rsidRPr="002623C0">
        <w:rPr>
          <w:rFonts w:hint="eastAsia"/>
          <w:sz w:val="20"/>
          <w:lang w:val="en-US"/>
        </w:rPr>
        <w:t>相原）</w:t>
      </w:r>
    </w:p>
    <w:sectPr w:rsidR="00B1415B" w:rsidRPr="002623C0" w:rsidSect="00721F4B">
      <w:foot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28" w:rsidRDefault="00291828" w:rsidP="00291828">
      <w:r>
        <w:separator/>
      </w:r>
    </w:p>
  </w:endnote>
  <w:endnote w:type="continuationSeparator" w:id="0">
    <w:p w:rsidR="00291828" w:rsidRDefault="00291828" w:rsidP="0029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41725"/>
      <w:docPartObj>
        <w:docPartGallery w:val="Page Numbers (Bottom of Page)"/>
        <w:docPartUnique/>
      </w:docPartObj>
    </w:sdtPr>
    <w:sdtContent>
      <w:p w:rsidR="004D5EC4" w:rsidRDefault="004D5EC4">
        <w:pPr>
          <w:pStyle w:val="a9"/>
          <w:jc w:val="center"/>
        </w:pPr>
        <w:r>
          <w:fldChar w:fldCharType="begin"/>
        </w:r>
        <w:r>
          <w:instrText>PAGE   \* MERGEFORMAT</w:instrText>
        </w:r>
        <w:r>
          <w:fldChar w:fldCharType="separate"/>
        </w:r>
        <w:r>
          <w:rPr>
            <w:noProof/>
          </w:rPr>
          <w:t>1</w:t>
        </w:r>
        <w:r>
          <w:fldChar w:fldCharType="end"/>
        </w:r>
      </w:p>
    </w:sdtContent>
  </w:sdt>
  <w:p w:rsidR="004D5EC4" w:rsidRDefault="004D5E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28" w:rsidRDefault="00291828" w:rsidP="00291828">
      <w:r>
        <w:separator/>
      </w:r>
    </w:p>
  </w:footnote>
  <w:footnote w:type="continuationSeparator" w:id="0">
    <w:p w:rsidR="00291828" w:rsidRDefault="00291828" w:rsidP="0029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BF"/>
    <w:rsid w:val="00150625"/>
    <w:rsid w:val="002623C0"/>
    <w:rsid w:val="00291828"/>
    <w:rsid w:val="003C0768"/>
    <w:rsid w:val="004D5EC4"/>
    <w:rsid w:val="00533200"/>
    <w:rsid w:val="00541CC9"/>
    <w:rsid w:val="005D3973"/>
    <w:rsid w:val="00721F4B"/>
    <w:rsid w:val="00A00698"/>
    <w:rsid w:val="00B1415B"/>
    <w:rsid w:val="00B641A9"/>
    <w:rsid w:val="00B92319"/>
    <w:rsid w:val="00BA13BF"/>
    <w:rsid w:val="00D6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973"/>
    <w:pPr>
      <w:ind w:leftChars="400" w:left="840"/>
    </w:pPr>
  </w:style>
  <w:style w:type="table" w:styleId="a4">
    <w:name w:val="Table Grid"/>
    <w:basedOn w:val="a1"/>
    <w:uiPriority w:val="39"/>
    <w:rsid w:val="00B1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0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0768"/>
    <w:rPr>
      <w:rFonts w:asciiTheme="majorHAnsi" w:eastAsiaTheme="majorEastAsia" w:hAnsiTheme="majorHAnsi" w:cstheme="majorBidi"/>
      <w:sz w:val="18"/>
      <w:szCs w:val="18"/>
    </w:rPr>
  </w:style>
  <w:style w:type="paragraph" w:styleId="a7">
    <w:name w:val="header"/>
    <w:basedOn w:val="a"/>
    <w:link w:val="a8"/>
    <w:uiPriority w:val="99"/>
    <w:unhideWhenUsed/>
    <w:rsid w:val="00291828"/>
    <w:pPr>
      <w:tabs>
        <w:tab w:val="center" w:pos="4252"/>
        <w:tab w:val="right" w:pos="8504"/>
      </w:tabs>
      <w:snapToGrid w:val="0"/>
    </w:pPr>
  </w:style>
  <w:style w:type="character" w:customStyle="1" w:styleId="a8">
    <w:name w:val="ヘッダー (文字)"/>
    <w:basedOn w:val="a0"/>
    <w:link w:val="a7"/>
    <w:uiPriority w:val="99"/>
    <w:rsid w:val="00291828"/>
  </w:style>
  <w:style w:type="paragraph" w:styleId="a9">
    <w:name w:val="footer"/>
    <w:basedOn w:val="a"/>
    <w:link w:val="aa"/>
    <w:uiPriority w:val="99"/>
    <w:unhideWhenUsed/>
    <w:rsid w:val="00291828"/>
    <w:pPr>
      <w:tabs>
        <w:tab w:val="center" w:pos="4252"/>
        <w:tab w:val="right" w:pos="8504"/>
      </w:tabs>
      <w:snapToGrid w:val="0"/>
    </w:pPr>
  </w:style>
  <w:style w:type="character" w:customStyle="1" w:styleId="aa">
    <w:name w:val="フッター (文字)"/>
    <w:basedOn w:val="a0"/>
    <w:link w:val="a9"/>
    <w:uiPriority w:val="99"/>
    <w:rsid w:val="00291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973"/>
    <w:pPr>
      <w:ind w:leftChars="400" w:left="840"/>
    </w:pPr>
  </w:style>
  <w:style w:type="table" w:styleId="a4">
    <w:name w:val="Table Grid"/>
    <w:basedOn w:val="a1"/>
    <w:uiPriority w:val="39"/>
    <w:rsid w:val="00B1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0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0768"/>
    <w:rPr>
      <w:rFonts w:asciiTheme="majorHAnsi" w:eastAsiaTheme="majorEastAsia" w:hAnsiTheme="majorHAnsi" w:cstheme="majorBidi"/>
      <w:sz w:val="18"/>
      <w:szCs w:val="18"/>
    </w:rPr>
  </w:style>
  <w:style w:type="paragraph" w:styleId="a7">
    <w:name w:val="header"/>
    <w:basedOn w:val="a"/>
    <w:link w:val="a8"/>
    <w:uiPriority w:val="99"/>
    <w:unhideWhenUsed/>
    <w:rsid w:val="00291828"/>
    <w:pPr>
      <w:tabs>
        <w:tab w:val="center" w:pos="4252"/>
        <w:tab w:val="right" w:pos="8504"/>
      </w:tabs>
      <w:snapToGrid w:val="0"/>
    </w:pPr>
  </w:style>
  <w:style w:type="character" w:customStyle="1" w:styleId="a8">
    <w:name w:val="ヘッダー (文字)"/>
    <w:basedOn w:val="a0"/>
    <w:link w:val="a7"/>
    <w:uiPriority w:val="99"/>
    <w:rsid w:val="00291828"/>
  </w:style>
  <w:style w:type="paragraph" w:styleId="a9">
    <w:name w:val="footer"/>
    <w:basedOn w:val="a"/>
    <w:link w:val="aa"/>
    <w:uiPriority w:val="99"/>
    <w:unhideWhenUsed/>
    <w:rsid w:val="00291828"/>
    <w:pPr>
      <w:tabs>
        <w:tab w:val="center" w:pos="4252"/>
        <w:tab w:val="right" w:pos="8504"/>
      </w:tabs>
      <w:snapToGrid w:val="0"/>
    </w:pPr>
  </w:style>
  <w:style w:type="character" w:customStyle="1" w:styleId="aa">
    <w:name w:val="フッター (文字)"/>
    <w:basedOn w:val="a0"/>
    <w:link w:val="a9"/>
    <w:uiPriority w:val="99"/>
    <w:rsid w:val="0029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柴田麻衣</dc:creator>
  <cp:lastModifiedBy>aihara</cp:lastModifiedBy>
  <cp:revision>6</cp:revision>
  <cp:lastPrinted>2015-09-11T00:59:00Z</cp:lastPrinted>
  <dcterms:created xsi:type="dcterms:W3CDTF">2015-09-11T00:51:00Z</dcterms:created>
  <dcterms:modified xsi:type="dcterms:W3CDTF">2015-09-11T01:05:00Z</dcterms:modified>
</cp:coreProperties>
</file>